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《黑土粮仓涉农纠纷司法解决机制实施方案》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3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构建覆盖黑土地保护、粮食生产全链条、乡村产业振兴的立体化司法服务体系。通过“预防+调解+审判+修复”四维联动，实现涉农纠纷化解率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得到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提升，黑土地案件执行到位率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得到提高</w:t>
      </w:r>
      <w:r>
        <w:rPr>
          <w:rFonts w:hint="eastAsia" w:ascii="仿宋_GB2312" w:hAnsi="仿宋_GB2312" w:eastAsia="仿宋_GB2312" w:cs="仿宋_GB2312"/>
          <w:sz w:val="32"/>
          <w:szCs w:val="32"/>
        </w:rPr>
        <w:t>，缩短涉农案件平均审理周期，为粮食安全提供全周期司法保障。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现将《伊春市中级人民法院民行交叉案件审理意见（试行）》转发给你们，请你们结合实际贯彻执行。</w:t>
      </w:r>
    </w:p>
    <w:p>
      <w:pPr>
        <w:pStyle w:val="2"/>
        <w:rPr>
          <w:rFonts w:hint="eastAsia"/>
          <w:lang w:val="en-US" w:eastAsia="zh-CN"/>
        </w:rPr>
      </w:pPr>
      <w:bookmarkStart w:id="1" w:name="_GoBack"/>
      <w:bookmarkEnd w:id="1"/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547C0F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9F7AB9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4271F8D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A94C7A"/>
    <w:rsid w:val="44C05720"/>
    <w:rsid w:val="452F5E98"/>
    <w:rsid w:val="454F02BB"/>
    <w:rsid w:val="46012CEA"/>
    <w:rsid w:val="463562F3"/>
    <w:rsid w:val="463F577C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4FDB6D44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3AB74BD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2A46C4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0171D8B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kern w:val="0"/>
      <w:sz w:val="24"/>
    </w:rPr>
  </w:style>
  <w:style w:type="paragraph" w:styleId="3">
    <w:name w:val="Body Text"/>
    <w:basedOn w:val="1"/>
    <w:next w:val="4"/>
    <w:qFormat/>
    <w:uiPriority w:val="0"/>
    <w:pPr>
      <w:spacing w:after="283"/>
    </w:pPr>
  </w:style>
  <w:style w:type="paragraph" w:customStyle="1" w:styleId="4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5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5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261</Words>
  <Characters>274</Characters>
  <Lines>3</Lines>
  <Paragraphs>1</Paragraphs>
  <TotalTime>0</TotalTime>
  <ScaleCrop>false</ScaleCrop>
  <LinksUpToDate>false</LinksUpToDate>
  <CharactersWithSpaces>439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2025-10-17T01:10:25Z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