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</w:t>
      </w:r>
      <w:bookmarkStart w:id="1" w:name="_GoBack"/>
      <w:bookmarkEnd w:id="1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转发《伊春市中级人民法院、伊春市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发展和改革委员会、伊春市市场监督管理局、伊春市财政局、伊春市公共资源交易中心、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eastAsia="方正小标宋简体"/>
          <w:sz w:val="44"/>
          <w:szCs w:val="44"/>
        </w:rPr>
        <w:t>司法信用积分体系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实施</w:t>
      </w:r>
      <w:r>
        <w:rPr>
          <w:rFonts w:hint="eastAsia" w:ascii="方正小标宋简体" w:eastAsia="方正小标宋简体"/>
          <w:sz w:val="44"/>
          <w:szCs w:val="44"/>
        </w:rPr>
        <w:t>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南岔县发展和改革局、南岔县市场监督管理局、南岔县财政局、南岔县公共资源交易中心，本院各庭室、直属单位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深入落实伊春市中级人民法院、伊春市发展和改革委员会等五部门联合印发的《司法信用积分体系实施方案》（伊中法优环办〔2025〕24号）要求，切实以司法信用赋能本县营商环境优化，引导企业诚实守信、依法经营，现将《司法信用积分体系实施方案》印发给你们，请严格遵照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  <w:rPr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3F3B31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425A2C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E2C28D7"/>
    <w:rsid w:val="0E696395"/>
    <w:rsid w:val="0E8A1D4A"/>
    <w:rsid w:val="0F381672"/>
    <w:rsid w:val="0F571683"/>
    <w:rsid w:val="10B467E0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8E5848"/>
    <w:rsid w:val="2EAE14AF"/>
    <w:rsid w:val="2ED31E05"/>
    <w:rsid w:val="2ED73E07"/>
    <w:rsid w:val="2EF74C4E"/>
    <w:rsid w:val="2F5C5C93"/>
    <w:rsid w:val="30406100"/>
    <w:rsid w:val="30B060DD"/>
    <w:rsid w:val="311E7427"/>
    <w:rsid w:val="315C25C3"/>
    <w:rsid w:val="31A43E8C"/>
    <w:rsid w:val="326750AD"/>
    <w:rsid w:val="327337D7"/>
    <w:rsid w:val="333737C7"/>
    <w:rsid w:val="335F51F0"/>
    <w:rsid w:val="33CD06CF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7486507"/>
    <w:rsid w:val="47FBB3F8"/>
    <w:rsid w:val="481D14A3"/>
    <w:rsid w:val="485F79B5"/>
    <w:rsid w:val="48BD535A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298</Words>
  <Characters>309</Characters>
  <Lines>3</Lines>
  <Paragraphs>1</Paragraphs>
  <TotalTime>2</TotalTime>
  <ScaleCrop>false</ScaleCrop>
  <LinksUpToDate>false</LinksUpToDate>
  <CharactersWithSpaces>474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2025-10-13T06:12:40Z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