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0"/>
        <w:jc w:val="center"/>
        <w:textAlignment w:val="auto"/>
        <w:rPr>
          <w:rFonts w:hint="eastAsia" w:ascii="仿宋" w:hAnsi="仿宋" w:eastAsia="仿宋"/>
          <w:b/>
          <w:bCs/>
          <w:spacing w:val="85"/>
          <w:sz w:val="84"/>
          <w:szCs w:val="84"/>
          <w:lang w:val="en-US" w:eastAsia="zh-CN"/>
        </w:rPr>
      </w:pPr>
      <w:r>
        <w:rPr>
          <w:rFonts w:hint="eastAsia"/>
          <w:lang w:eastAsia="zh-CN"/>
        </w:rPr>
        <w:tab/>
      </w:r>
      <w:r>
        <w:rPr>
          <w:rFonts w:hint="eastAsia" w:ascii="方正小标宋简体" w:eastAsia="方正小标宋简体"/>
          <w:b/>
          <w:bCs/>
          <w:color w:val="FF0000"/>
          <w:spacing w:val="85"/>
          <w:sz w:val="84"/>
          <w:szCs w:val="84"/>
        </w:rPr>
        <w:t>南岔县人民法院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147320</wp:posOffset>
                </wp:positionV>
                <wp:extent cx="5667375" cy="9525"/>
                <wp:effectExtent l="15875" t="15875" r="31750" b="317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9525"/>
                        </a:xfrm>
                        <a:prstGeom prst="line">
                          <a:avLst/>
                        </a:prstGeom>
                        <a:ln w="31750" cap="rnd">
                          <a:solidFill>
                            <a:srgbClr val="FF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4pt;margin-top:11.6pt;height:0.75pt;width:446.25pt;z-index:251659264;mso-width-relative:page;mso-height-relative:page;" filled="f" stroked="t" coordsize="21600,21600" o:gfxdata="UEsFBgAAAAAAAAAAAAAAAAAAAAAAAFBLAwQKAAAAAACHTuJAAAAAAAAAAAAAAAAABAAAAGRycy9Q&#10;SwMEFAAAAAgAh07iQKMM/QbXAAAACQEAAA8AAABkcnMvZG93bnJldi54bWxNj8FuwjAQRO+V+g/W&#10;VuIGDgERlMbhQFVVnChQ9ezE2yRqvI5sA+HvWU7tcXZGM2+LzWh7cUEfOkcK5rMEBFLtTEeNgq/T&#10;+3QNIkRNRveOUMENA2zK56dC58Zd6YCXY2wEl1DItYI2xiGXMtQtWh1mbkBi78d5qyNL30jj9ZXL&#10;bS/TJFlJqzvihVYPuG2x/j2e7WN3e/sc97uhcn6M+8PH6Vs2b0pNXubJK4iIY/wLwwOf0aFkpsqd&#10;yQTRK5imS0aPCtJFCoID61WWgaj4sMxAloX8/0F5B1BLAwQUAAAACACHTuJAVWBi/9oBAACNAwAA&#10;DgAAAGRycy9lMm9Eb2MueG1srVNLjhMxEN0jcQfLe9JJj5JAK51ZzBA2CCIBB6jY7rQl/1R20skl&#10;uAASO1ixZM9tGI5B2QkZPhuE6EW1XX5+Xe9V9eL6YA3bK4zau5ZPRmPOlBNeardt+ZvXq0ePOYsJ&#10;nATjnWr5UUV+vXz4YDGERtW+90YqZETiYjOElvcphaaqouiVhTjyQTk67DxaSLTFbSURBmK3pqrH&#10;41k1eJQBvVAxUvb2dMiXhb/rlEgvuy6qxEzLqbZUIpa4ybFaLqDZIoRei3MZ8A9VWNCOPnqhuoUE&#10;bIf6DyqrBfrouzQS3la+67RQRQOpmYx/U/Oqh6CKFjInhotN8f/Rihf7NTItW15z5sBSi+7eff76&#10;9sO3L+8p3n36yOps0hBiQ9gbt8bzLoY1ZsWHDm1+kxZ2KMYeL8aqQ2KCktPZbH41n3Im6OzJtJ5m&#10;yur+bsCYnilvWV603GiXZUMD++cxnaA/IDnt/EobQ3lojGNDy68m8yl1VwBNEDpZ7kZvtMy4DIu4&#10;3dwYZHugOVitxvScS/gFhn7nZOHtFcinTrJ0DGSJo9nl+UNWSc6MolHPq4JMoM3fIEmucaQ6O3ny&#10;Lq82Xh6pAbuAetuT9IQ7VSrLh9TzYtN5PvNQ/bwvZPd/0fI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owz9BtcAAAAJAQAADwAAAAAAAAABACAAAAA4AAAAZHJzL2Rvd25yZXYueG1sUEsBAhQAFAAA&#10;AAgAh07iQFVgYv/aAQAAjQMAAA4AAAAAAAAAAQAgAAAAPAEAAGRycy9lMm9Eb2MueG1sUEsFBgAA&#10;AAAGAAYAWQEAAIgFAAAAAA==&#10;">
                <v:fill on="f" focussize="0,0"/>
                <v:stroke weight="2.5pt" color="#FF0000" joinstyle="round" endcap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7"/>
        <w:jc w:val="center"/>
        <w:rPr>
          <w:rFonts w:hint="eastAsia" w:ascii="黑体" w:hAnsi="黑体" w:eastAsia="黑体" w:cs="黑体"/>
          <w:b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color w:val="000000"/>
          <w:sz w:val="44"/>
          <w:szCs w:val="44"/>
          <w:lang w:val="en-US" w:eastAsia="zh-CN"/>
        </w:rPr>
        <w:t>南岔县人民法院</w:t>
      </w:r>
    </w:p>
    <w:p>
      <w:pPr>
        <w:pStyle w:val="7"/>
        <w:jc w:val="center"/>
        <w:rPr>
          <w:rFonts w:hint="eastAsia" w:ascii="黑体" w:hAnsi="黑体" w:eastAsia="黑体" w:cs="黑体"/>
          <w:b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/>
          <w:color w:val="000000"/>
          <w:sz w:val="44"/>
          <w:szCs w:val="44"/>
        </w:rPr>
        <w:t>诉前鉴定分流及诉前、诉中鉴定制度</w:t>
      </w:r>
    </w:p>
    <w:bookmarkEnd w:id="0"/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为深化司法为民实践，提升民商事纠纷解决效率，将专业技术服务深度融入立案、审判、执行全流程，构建科学、高效、协同的诉前、诉中鉴定服务体系，结合南岔县人民法院工作实际，制定本制度。</w:t>
      </w:r>
    </w:p>
    <w:p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2025年1月6日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一、适用范围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本制度适用于南岔县人民法院受理的民商事纠纷案件，重点针对证据复杂、争议标的额超过3万元或涉及专业技术领域（如医疗损害、工程造价、产品质量等）的案件，开展诉前鉴定分流及诉前、诉中鉴定协同工作。      </w:t>
      </w:r>
    </w:p>
    <w:p>
      <w:pPr>
        <w:pStyle w:val="2"/>
      </w:pPr>
      <w:r>
        <w:rPr>
          <w:rFonts w:ascii="黑体" w:hAnsi="黑体" w:eastAsia="黑体" w:cs="黑体"/>
          <w:sz w:val="32"/>
          <w:szCs w:val="32"/>
        </w:rPr>
        <w:t>二、</w:t>
      </w:r>
      <w:r>
        <w:t>诉前鉴定前置程序</w:t>
      </w:r>
    </w:p>
    <w:p>
      <w:pPr>
        <w:pStyle w:val="3"/>
      </w:pPr>
      <w:r>
        <w:t>（一）启动条件</w:t>
      </w:r>
    </w:p>
    <w:p>
      <w:pPr>
        <w:numPr>
          <w:ilvl w:val="0"/>
          <w:numId w:val="1"/>
        </w:num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立案阶段，经初步审查，符合以下情形之一的民商事纠纷，启动诉前鉴定前置程序：</w:t>
      </w:r>
    </w:p>
    <w:p>
      <w:pPr>
        <w:numPr>
          <w:ilvl w:val="0"/>
          <w:numId w:val="1"/>
        </w:num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证据涉及专业技术问题，需专业机构评估才能明确基本事实的；</w:t>
      </w:r>
    </w:p>
    <w:p>
      <w:pPr>
        <w:numPr>
          <w:ilvl w:val="0"/>
          <w:numId w:val="1"/>
        </w:num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争议标的额超过3万元，且双方对关键事实存在明显分歧，专业鉴定可辅助争议化解的；</w:t>
      </w:r>
    </w:p>
    <w:p>
      <w:pPr>
        <w:numPr>
          <w:ilvl w:val="0"/>
          <w:numId w:val="1"/>
        </w:num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案件涉及医疗、建筑、知识产权等专业技术领域，需专业意见支撑纠纷解决的。</w:t>
      </w:r>
    </w:p>
    <w:p>
      <w:pPr>
        <w:pStyle w:val="3"/>
      </w:pPr>
      <w:r>
        <w:t>（二）操作流程</w:t>
      </w:r>
    </w:p>
    <w:p>
      <w:pPr>
        <w:numPr>
          <w:ilvl w:val="0"/>
          <w:numId w:val="2"/>
        </w:num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案件筛选与引导：立案窗口工作人员初步审查案件材料，对符合诉前鉴定条件的案件，主动引导当事人申请诉前鉴定，释明诉前鉴定对纠纷化解的作用及后续衔接机制 。</w:t>
      </w:r>
    </w:p>
    <w:p>
      <w:pPr>
        <w:numPr>
          <w:ilvl w:val="0"/>
          <w:numId w:val="2"/>
        </w:num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申请与材料接收：当事人提交诉前鉴定申请及相关材料（如病历、合同、产品样本等），诉讼服务中心专人负责登记、收齐材料，及时移送至承办法官（诉前鉴定经办人）。</w:t>
      </w:r>
    </w:p>
    <w:p>
      <w:pPr>
        <w:numPr>
          <w:ilvl w:val="0"/>
          <w:numId w:val="2"/>
        </w:num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材料审核与质证组织：承办法官审核鉴定材料，确认被申请人同意诉前鉴定后，组织双方当事人对鉴定材料进行质证，确保材料真实、完整、与争议关联，为鉴定提供可靠依据。</w:t>
      </w:r>
    </w:p>
    <w:p>
      <w:pPr>
        <w:numPr>
          <w:ilvl w:val="0"/>
          <w:numId w:val="2"/>
        </w:num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委托鉴定：承办法官通过法院对外委托司法鉴定工作流程，选定并委托第三方专业鉴定机构开展鉴定，明确鉴定事项、时限等要求。</w:t>
      </w:r>
    </w:p>
    <w:p>
      <w:pPr>
        <w:numPr>
          <w:ilvl w:val="0"/>
          <w:numId w:val="2"/>
        </w:num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鉴定跟进与报告接收：对外委托司法鉴定工作人员跟踪鉴定进度，协调解决鉴定中出现的问题。收到鉴定报告后，及时移送承办法官。</w:t>
      </w:r>
    </w:p>
    <w:p>
      <w:pPr>
        <w:numPr>
          <w:ilvl w:val="0"/>
          <w:numId w:val="2"/>
        </w:num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报告审查与送达：承办法官审查鉴定报告合法性、关联性、科学性，制作报告副本并送达双方当事人，同时告知诉前调解员鉴定意见，为后续调解提供专业支撑。</w:t>
      </w:r>
    </w:p>
    <w:p>
      <w:pPr>
        <w:pStyle w:val="2"/>
        <w:ind w:firstLine="361" w:firstLineChars="100"/>
      </w:pPr>
      <w:r>
        <w:t>四、“调解 + 鉴定”协同模式</w:t>
      </w:r>
    </w:p>
    <w:p>
      <w:pPr>
        <w:pStyle w:val="3"/>
      </w:pPr>
      <w:r>
        <w:t>（一）诉前调解衔接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诉前调解员在接收承办法官告知的鉴定意见后，以鉴定结论为基础，再次组织双方当事人调解。利用专业鉴定意见明晰责任、量化损失，通过释法明理、利益平衡等方式，推动纠纷在诉前化解。目标实现50%以上鉴定类案件诉前解决，减少诉讼增量。</w:t>
      </w:r>
    </w:p>
    <w:p>
      <w:pPr>
        <w:pStyle w:val="3"/>
      </w:pPr>
      <w:r>
        <w:t>（二）诉中衔接机制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若诉前调解未能达成协议，诉前鉴定形成的鉴定书直接作为诉讼案件立案材料，进入审判程序。承办法官在审理中可直接参考诉前鉴定意见，避免重复鉴定，缩短审理周期，提升审判效率；确有必要重新鉴定或补充鉴定的，依照法定程序启动诉中鉴定，与诉前鉴定形成有效衔接。</w:t>
      </w:r>
    </w:p>
    <w:p>
      <w:pPr>
        <w:pStyle w:val="2"/>
      </w:pPr>
      <w:r>
        <w:t>五、配套服务保障</w:t>
      </w:r>
    </w:p>
    <w:p>
      <w:pPr>
        <w:pStyle w:val="3"/>
      </w:pPr>
      <w:r>
        <w:t>（一）电子导览系统应用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诉讼服务中心设置电子导览系统，动态展示诉前、诉中鉴定全流程节点（如申请、材料提交、质证、委托、出报告等环节）。当事人通过扫描二维码，可获取标准化指引文件（含鉴定申请模板、材料清单、鉴定流程说明等），方便其了解工作、有序参与程序。</w:t>
      </w:r>
    </w:p>
    <w:p>
      <w:pPr>
        <w:pStyle w:val="3"/>
      </w:pPr>
      <w:r>
        <w:t>（二）材料审核与鉴后答疑</w:t>
      </w:r>
    </w:p>
    <w:p>
      <w:pPr>
        <w:numPr>
          <w:ilvl w:val="0"/>
          <w:numId w:val="3"/>
        </w:num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材料审核：诉讼服务中心安排专人，对当事人提交的鉴定材料进行形式审核，指导补充完善材料，确保鉴定启动顺畅，减少因材料问题导致的鉴定延误。</w:t>
      </w:r>
    </w:p>
    <w:p>
      <w:pPr>
        <w:numPr>
          <w:ilvl w:val="0"/>
          <w:numId w:val="3"/>
        </w:num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鉴后答疑：鉴定报告送达后，针对当事人对鉴定意见的疑问，承办法官可协调鉴定机构派员答疑，或结合案件情况，从司法审查角度向当事人释明鉴定意见依据、效力，消除当事人疑虑，促进纠纷解决。</w:t>
      </w:r>
    </w:p>
    <w:p>
      <w:pPr>
        <w:pStyle w:val="2"/>
      </w:pPr>
      <w:r>
        <w:t>六、全链条服务管理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构建“前端预防—中端化解—后端衔接”完整服务链条：</w:t>
      </w:r>
    </w:p>
    <w:p>
      <w:pPr>
        <w:numPr>
          <w:ilvl w:val="0"/>
          <w:numId w:val="4"/>
        </w:num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前端预防：通过立案引导、电子导览及材料审核，提前介入纠纷，引导当事人合理运用鉴定手段，明晰争议焦点，预防矛盾激化。</w:t>
      </w:r>
    </w:p>
    <w:p>
      <w:pPr>
        <w:numPr>
          <w:ilvl w:val="0"/>
          <w:numId w:val="4"/>
        </w:num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中端化解：依托“调解 + 鉴定”模式，在诉前充分利用专业意见化解纠纷；诉中衔接诉前鉴定成果，高效推进审判。</w:t>
      </w:r>
    </w:p>
    <w:p>
      <w:pPr>
        <w:numPr>
          <w:ilvl w:val="0"/>
          <w:numId w:val="4"/>
        </w:num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后端衔接：诉前鉴定未化解案件，鉴定材料、意见顺畅转入审判、执行程序，为裁判、执行提供专业支撑，实现从纠纷受理到解决的全流程协同服务。</w:t>
      </w:r>
    </w:p>
    <w:p>
      <w:pPr>
        <w:pStyle w:val="2"/>
      </w:pPr>
      <w:r>
        <w:t>七、附则</w:t>
      </w:r>
    </w:p>
    <w:p>
      <w:pPr>
        <w:numPr>
          <w:ilvl w:val="0"/>
          <w:numId w:val="4"/>
        </w:num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本制度由南岔县人民法院负责解释，自发布之日起施行。实施过程中，可结合工作实际及上级法院要求，适时调整完善。</w:t>
      </w:r>
    </w:p>
    <w:p>
      <w:pPr>
        <w:pStyle w:val="7"/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5440" w:firstLineChars="17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南岔县人民法院       </w:t>
      </w:r>
    </w:p>
    <w:p>
      <w:pPr>
        <w:tabs>
          <w:tab w:val="left" w:pos="1071"/>
        </w:tabs>
        <w:rPr>
          <w:rFonts w:hint="eastAsia" w:eastAsia="仿宋_GB2312"/>
          <w:lang w:eastAsia="zh-CN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473710</wp:posOffset>
                </wp:positionV>
                <wp:extent cx="5942330" cy="889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5942330" cy="88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37.3pt;height:0.7pt;width:467.9pt;z-index:251660288;mso-width-relative:page;mso-height-relative:page;" filled="f" stroked="t" coordsize="21600,21600" o:gfxdata="UEsFBgAAAAAAAAAAAAAAAAAAAAAAAFBLAwQKAAAAAACHTuJAAAAAAAAAAAAAAAAABAAAAGRycy9Q&#10;SwMEFAAAAAgAh07iQGhryh/VAAAABgEAAA8AAABkcnMvZG93bnJldi54bWxNj8FOwzAQRO9I/Qdr&#10;K3GjdlsINMSpKgRckJAogbMTL0lUex3Fblr+nuUEx9lZzbwptmfvxIRj7ANpWC4UCKQm2J5aDdX7&#10;09UdiJgMWeMCoYZvjLAtZxeFyW040RtO+9QKDqGYGw1dSkMuZWw69CYuwoDE3lcYvUksx1ba0Zw4&#10;3Du5UiqT3vTEDZ0Z8KHD5rA/eg27z5fH9etU++Dspq0+rK/U80rry/lS3YNIeE5/z/CLz+hQMlMd&#10;jmSjcBp4SNJwe52BYHezvuEhNR8yBbIs5H/88gdQSwMEFAAAAAgAh07iQKSLmsnqAQAAqQMAAA4A&#10;AABkcnMvZTJvRG9jLnhtbK1TvY4TMRDukXgHyz3ZXEJQssrmigtHgyASB/3EP7uW/CfbySYvwQsg&#10;0UFFSc/bcPcYjL0hcEeDEFuMxjvjb775Zry8PBhN9iJE5WxDL0ZjSoRljivbNvTtzfWTOSUxgeWg&#10;nRUNPYpIL1ePHy17X4uJ65zmIhAEsbHufUO7lHxdVZF1wkAcOS8sBqULBhIeQ1vxAD2iG11NxuNn&#10;Ve8C98ExESP+XQ9Buir4UgqWXksZRSK6ocgtFRuK3WZbrZZQtwF8p9iJBvwDCwPKYtEz1BoSkF1Q&#10;f0AZxYKLTqYRc6ZyUiomSg/YzcX4QTdvOvCi9ILiRH+WKf4/WPZqvwlE8YZOKbFgcES3H75+f//p&#10;7ttHtLdfPpNpFqn3scbcK7sJp1P0m5A7PshgiNTKv2toCrvMF2psjByKysezyuKQCMOfs8XTyXSK&#10;w2AYm88XZQjVAJTv+hDTC+EMyU5DtbIDJuxfxoTFMfVnSk7XlvQNXcwmM0QEXCGpIaFrPDYVbVv4&#10;RKcVv1Za5xsxtNsrHcge8lKUL7eIuPfScpE1xG7IK6FhXToB/LnlJB09ymVxr2mmYASnRAt8BtlD&#10;QKgTKP03mVhaW2SQVR50zd7W8SMOZ+eDajtUoqibieYg7kOhfNrdvHC/n0vWrxe2+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Boa8of1QAAAAYBAAAPAAAAAAAAAAEAIAAAADgAAABkcnMvZG93bnJl&#10;di54bWxQSwECFAAUAAAACACHTuJApIuayeoBAACpAwAADgAAAAAAAAABACAAAAA6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32170" cy="1016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2170" cy="10160"/>
                        </a:xfrm>
                        <a:prstGeom prst="line">
                          <a:avLst/>
                        </a:prstGeom>
                        <a:ln w="108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.8pt;width:467.1pt;z-index:251661312;mso-width-relative:page;mso-height-relative:page;" filled="f" stroked="t" coordsize="21600,21600" o:gfxdata="UEsFBgAAAAAAAAAAAAAAAAAAAAAAAFBLAwQKAAAAAACHTuJAAAAAAAAAAAAAAAAABAAAAGRycy9Q&#10;SwMEFAAAAAgAh07iQE/8AK3TAAAAAwEAAA8AAABkcnMvZG93bnJldi54bWxNj81uwjAQhO+VeAdr&#10;kXqpwCZUqKRxOLTqqZfyc+jRxNs4Il5HsQnk7bvlQi8jrWY0822xufpWDNjHJpCGxVyBQKqCbajW&#10;cNh/zF5AxGTImjYQahgxwqacPBQmt+FCWxx2qRZcQjE3GlxKXS5lrBx6E+ehQ2LvJ/TeJD77Wtre&#10;XLjctzJTaiW9aYgXnOnwzWF12p29Brsc5UB0ypr9+P6tvuz2Uz05rR+nC/UKIuE13cPwh8/oUDLT&#10;MZzJRtFq4EfSTdlbL58zEEcOrUCWhfzPXv4CUEsDBBQAAAAIAIdO4kCd+qcI3wEAAJ4DAAAOAAAA&#10;ZHJzL2Uyb0RvYy54bWytU0uOEzEQ3SNxB8t70t1BDEMrnVlMGDYIIgEHqNjubkv+yeWkk0twASR2&#10;sGLJntswHIOyEzJ8NgiRRaXsKj/Xe369uNpbw3Yqovau482s5kw54aV2Q8ffvL55cMkZJnASjHeq&#10;4weF/Gp5/95iCq2a+9EbqSIjEIftFDo+phTaqkIxKgs480E5KvY+Wki0jEMlI0yEbk01r+uLavJR&#10;huiFQqTd1bHIlwW/75VIL/seVWKm4zRbKjGWuMmxWi6gHSKEUYvTGPAPU1jQji49Q60gAdtG/QeU&#10;1SJ69H2aCW8r3/daqMKB2DT1b2xejRBU4ULiYDjLhP8PVrzYrSPTkt6OMweWnuj23eevbz98+/Ke&#10;4u2nj6zJIk0BW+q9dut4WmFYx8x430eb/4kL2xdhD2dh1T4xQZuPnjycN49Jf0G1pm4uivDV3eEQ&#10;MT1T3rKcdNxol3lDC7vnmOhCav3RkreNY1MGuqwzJpBvegOJUhuICbqhHEZvtLzRxuQjGIfNtYls&#10;B9kJ5Zd5EfAvbfmWFeB47Culo0dGBfKpkywdAmnkyMw8z2CV5Mwo8n7OCBDaBNr8TSddbRxNkKU9&#10;ipmzjZcHepFtiHoYSYoUt6oMmotkgjLyybDZZT+vC9jdZ7X8D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E/8AK3TAAAAAwEAAA8AAAAAAAAAAQAgAAAAOAAAAGRycy9kb3ducmV2LnhtbFBLAQIUABQA&#10;AAAIAIdO4kCd+qcI3wEAAJ4DAAAOAAAAAAAAAAEAIAAAADgBAABkcnMvZTJvRG9jLnhtbFBLBQYA&#10;AAAABgAGAFkBAACJBQAAAAA=&#10;">
                <v:fill on="f" focussize="0,0"/>
                <v:stroke weight="0.85039370078740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南岔县人民法院办公室            2025年1月6日印发  </w:t>
      </w:r>
      <w:r>
        <w:rPr>
          <w:rFonts w:hint="eastAsia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汉仪中宋简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CB22F3"/>
    <w:multiLevelType w:val="multilevel"/>
    <w:tmpl w:val="03CB22F3"/>
    <w:lvl w:ilvl="0" w:tentative="0">
      <w:start w:val="1"/>
      <w:numFmt w:val="bullet"/>
      <w:lvlText w:val=""/>
      <w:lvlJc w:val="left"/>
      <w:pPr>
        <w:ind w:left="108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52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6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40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4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28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2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16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600" w:hanging="440"/>
      </w:pPr>
      <w:rPr>
        <w:rFonts w:hint="default" w:ascii="Wingdings" w:hAnsi="Wingdings"/>
      </w:rPr>
    </w:lvl>
  </w:abstractNum>
  <w:abstractNum w:abstractNumId="1">
    <w:nsid w:val="0454312A"/>
    <w:multiLevelType w:val="multilevel"/>
    <w:tmpl w:val="0454312A"/>
    <w:lvl w:ilvl="0" w:tentative="0">
      <w:start w:val="1"/>
      <w:numFmt w:val="decimal"/>
      <w:lvlText w:val="%1."/>
      <w:lvlJc w:val="left"/>
      <w:pPr>
        <w:ind w:left="1080" w:hanging="440"/>
      </w:p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abstractNum w:abstractNumId="2">
    <w:nsid w:val="1BC05A61"/>
    <w:multiLevelType w:val="multilevel"/>
    <w:tmpl w:val="1BC05A61"/>
    <w:lvl w:ilvl="0" w:tentative="0">
      <w:start w:val="1"/>
      <w:numFmt w:val="decimal"/>
      <w:lvlText w:val="%1."/>
      <w:lvlJc w:val="left"/>
      <w:pPr>
        <w:ind w:left="1080" w:hanging="440"/>
      </w:p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abstractNum w:abstractNumId="3">
    <w:nsid w:val="5F895C61"/>
    <w:multiLevelType w:val="multilevel"/>
    <w:tmpl w:val="5F895C61"/>
    <w:lvl w:ilvl="0" w:tentative="0">
      <w:start w:val="1"/>
      <w:numFmt w:val="decimal"/>
      <w:lvlText w:val="%1."/>
      <w:lvlJc w:val="left"/>
      <w:pPr>
        <w:ind w:left="1080" w:hanging="440"/>
      </w:p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12091"/>
    <w:rsid w:val="1BEA7BAC"/>
    <w:rsid w:val="1CFBF1A6"/>
    <w:rsid w:val="1FBA04D1"/>
    <w:rsid w:val="261830B4"/>
    <w:rsid w:val="39192815"/>
    <w:rsid w:val="3CCB2319"/>
    <w:rsid w:val="3CCB5752"/>
    <w:rsid w:val="4D686100"/>
    <w:rsid w:val="4FB014E1"/>
    <w:rsid w:val="50AF6E33"/>
    <w:rsid w:val="56931A33"/>
    <w:rsid w:val="5802683A"/>
    <w:rsid w:val="5C2E2250"/>
    <w:rsid w:val="6145501E"/>
    <w:rsid w:val="6FEA3054"/>
    <w:rsid w:val="77256ABB"/>
    <w:rsid w:val="B7B702CE"/>
    <w:rsid w:val="BCEBFC42"/>
    <w:rsid w:val="BEB341A1"/>
    <w:rsid w:val="D27F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6"/>
      <w:szCs w:val="36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2023-10-08T22:08:00Z</dcterms:created>
  <dc:creator>Administrator</dc:creator>
  <cp:lastModifiedBy>thtf</cp:lastModifiedBy>
  <cp:lastPrinted>2025-01-13T18:56:00Z</cp:lastPrinted>
  <dcterms:modified xsi:type="dcterms:W3CDTF">2025-07-29T10:45:01Z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FB84868CF94B8FC8A8198868B81624A6</vt:lpwstr>
  </property>
  <property fmtid="{D5CDD505-2E9C-101B-9397-08002B2CF9AE}" pid="4" name="KSOTemplateDocerSaveRecord">
    <vt:lpwstr>eyJoZGlkIjoiNDMzYjFkZDVhNTIwZjA1ZTc0YWMwOTA0ZTkxZjYxZmEiLCJ1c2VySWQiOiI0NTcxMzU3MTAifQ==</vt:lpwstr>
  </property>
</Properties>
</file>